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E38" w:rsidRPr="00967E38" w:rsidRDefault="00967E38" w:rsidP="00967E3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67E38">
        <w:rPr>
          <w:rFonts w:ascii="Times New Roman" w:eastAsia="Times New Roman" w:hAnsi="Times New Roman" w:cs="Times New Roman"/>
          <w:b/>
          <w:bCs/>
          <w:kern w:val="36"/>
          <w:sz w:val="48"/>
          <w:szCs w:val="48"/>
        </w:rPr>
        <w:t>El banco central de China asegura que la economía crecerá por encima del 7,5% en 2012</w:t>
      </w:r>
    </w:p>
    <w:p w:rsidR="00967E38" w:rsidRPr="00967E38" w:rsidRDefault="00967E38" w:rsidP="00967E38">
      <w:pPr>
        <w:spacing w:before="100" w:beforeAutospacing="1" w:after="100" w:afterAutospacing="1" w:line="240" w:lineRule="auto"/>
        <w:outlineLvl w:val="2"/>
        <w:rPr>
          <w:rFonts w:ascii="Times New Roman" w:eastAsia="Times New Roman" w:hAnsi="Times New Roman" w:cs="Times New Roman"/>
          <w:b/>
          <w:bCs/>
          <w:sz w:val="27"/>
          <w:szCs w:val="27"/>
        </w:rPr>
      </w:pPr>
      <w:r w:rsidRPr="00967E38">
        <w:rPr>
          <w:rFonts w:ascii="Times New Roman" w:eastAsia="Times New Roman" w:hAnsi="Times New Roman" w:cs="Times New Roman"/>
          <w:b/>
          <w:bCs/>
          <w:sz w:val="27"/>
          <w:szCs w:val="27"/>
        </w:rPr>
        <w:t xml:space="preserve">La economía china "definitivamente" crecerá por encima de la meta del 7,5% fijada por el Gobierno, aseguró el vicegobernador del Banco Popular de China (emisor), </w:t>
      </w:r>
      <w:proofErr w:type="spellStart"/>
      <w:r w:rsidRPr="00967E38">
        <w:rPr>
          <w:rFonts w:ascii="Times New Roman" w:eastAsia="Times New Roman" w:hAnsi="Times New Roman" w:cs="Times New Roman"/>
          <w:b/>
          <w:bCs/>
          <w:sz w:val="27"/>
          <w:szCs w:val="27"/>
        </w:rPr>
        <w:t>Yi</w:t>
      </w:r>
      <w:proofErr w:type="spellEnd"/>
      <w:r w:rsidRPr="00967E38">
        <w:rPr>
          <w:rFonts w:ascii="Times New Roman" w:eastAsia="Times New Roman" w:hAnsi="Times New Roman" w:cs="Times New Roman"/>
          <w:b/>
          <w:bCs/>
          <w:sz w:val="27"/>
          <w:szCs w:val="27"/>
        </w:rPr>
        <w:t xml:space="preserve"> </w:t>
      </w:r>
      <w:proofErr w:type="spellStart"/>
      <w:r w:rsidRPr="00967E38">
        <w:rPr>
          <w:rFonts w:ascii="Times New Roman" w:eastAsia="Times New Roman" w:hAnsi="Times New Roman" w:cs="Times New Roman"/>
          <w:b/>
          <w:bCs/>
          <w:sz w:val="27"/>
          <w:szCs w:val="27"/>
        </w:rPr>
        <w:t>Gang</w:t>
      </w:r>
      <w:proofErr w:type="spellEnd"/>
      <w:r w:rsidRPr="00967E38">
        <w:rPr>
          <w:rFonts w:ascii="Times New Roman" w:eastAsia="Times New Roman" w:hAnsi="Times New Roman" w:cs="Times New Roman"/>
          <w:b/>
          <w:bCs/>
          <w:sz w:val="27"/>
          <w:szCs w:val="27"/>
        </w:rPr>
        <w:t>. El índice de precios al consumo de China se situó en el 1,7% interanual en octubre, dos décimas menos de la cifra registrada en septiembre.</w:t>
      </w:r>
    </w:p>
    <w:p w:rsidR="00967E38" w:rsidRPr="00967E38" w:rsidRDefault="00967E38" w:rsidP="00967E38">
      <w:pPr>
        <w:spacing w:before="100" w:beforeAutospacing="1" w:after="100" w:afterAutospacing="1" w:line="240" w:lineRule="auto"/>
        <w:rPr>
          <w:rFonts w:ascii="Times New Roman" w:eastAsia="Times New Roman" w:hAnsi="Times New Roman" w:cs="Times New Roman"/>
          <w:sz w:val="24"/>
          <w:szCs w:val="24"/>
        </w:rPr>
      </w:pPr>
      <w:r w:rsidRPr="00967E38">
        <w:rPr>
          <w:rFonts w:ascii="Times New Roman" w:eastAsia="Times New Roman" w:hAnsi="Times New Roman" w:cs="Times New Roman"/>
          <w:b/>
          <w:bCs/>
          <w:sz w:val="24"/>
          <w:szCs w:val="24"/>
        </w:rPr>
        <w:t xml:space="preserve">Efe - </w:t>
      </w:r>
      <w:r w:rsidRPr="00967E38">
        <w:rPr>
          <w:rFonts w:ascii="Times New Roman" w:eastAsia="Times New Roman" w:hAnsi="Times New Roman" w:cs="Times New Roman"/>
          <w:sz w:val="24"/>
          <w:szCs w:val="24"/>
        </w:rPr>
        <w:t>09/11/2012 - 07:15</w:t>
      </w:r>
    </w:p>
    <w:p w:rsidR="00967E38" w:rsidRPr="00967E38" w:rsidRDefault="00967E38" w:rsidP="00967E38">
      <w:pPr>
        <w:spacing w:before="100" w:beforeAutospacing="1" w:after="100" w:afterAutospacing="1" w:line="240" w:lineRule="auto"/>
        <w:rPr>
          <w:rFonts w:ascii="Times New Roman" w:eastAsia="Times New Roman" w:hAnsi="Times New Roman" w:cs="Times New Roman"/>
          <w:sz w:val="24"/>
          <w:szCs w:val="24"/>
        </w:rPr>
      </w:pPr>
      <w:r w:rsidRPr="00967E38">
        <w:rPr>
          <w:rFonts w:ascii="Times New Roman" w:eastAsia="Times New Roman" w:hAnsi="Times New Roman" w:cs="Times New Roman"/>
          <w:sz w:val="24"/>
          <w:szCs w:val="24"/>
        </w:rPr>
        <w:t xml:space="preserve">El vicegobernador del Banco Popular de China (emisor), </w:t>
      </w:r>
      <w:proofErr w:type="spellStart"/>
      <w:r w:rsidRPr="00967E38">
        <w:rPr>
          <w:rFonts w:ascii="Times New Roman" w:eastAsia="Times New Roman" w:hAnsi="Times New Roman" w:cs="Times New Roman"/>
          <w:sz w:val="24"/>
          <w:szCs w:val="24"/>
        </w:rPr>
        <w:t>Yi</w:t>
      </w:r>
      <w:proofErr w:type="spellEnd"/>
      <w:r w:rsidRPr="00967E38">
        <w:rPr>
          <w:rFonts w:ascii="Times New Roman" w:eastAsia="Times New Roman" w:hAnsi="Times New Roman" w:cs="Times New Roman"/>
          <w:sz w:val="24"/>
          <w:szCs w:val="24"/>
        </w:rPr>
        <w:t xml:space="preserve"> </w:t>
      </w:r>
      <w:proofErr w:type="spellStart"/>
      <w:r w:rsidRPr="00967E38">
        <w:rPr>
          <w:rFonts w:ascii="Times New Roman" w:eastAsia="Times New Roman" w:hAnsi="Times New Roman" w:cs="Times New Roman"/>
          <w:sz w:val="24"/>
          <w:szCs w:val="24"/>
        </w:rPr>
        <w:t>Gang</w:t>
      </w:r>
      <w:proofErr w:type="spellEnd"/>
      <w:r w:rsidRPr="00967E38">
        <w:rPr>
          <w:rFonts w:ascii="Times New Roman" w:eastAsia="Times New Roman" w:hAnsi="Times New Roman" w:cs="Times New Roman"/>
          <w:sz w:val="24"/>
          <w:szCs w:val="24"/>
        </w:rPr>
        <w:t xml:space="preserve">, ha asegurado que se ve "claramente que la economía ha mostrado signos de fortalecimiento desde el inicio de este trimestre", aseguró anoche </w:t>
      </w:r>
      <w:proofErr w:type="spellStart"/>
      <w:r w:rsidRPr="00967E38">
        <w:rPr>
          <w:rFonts w:ascii="Times New Roman" w:eastAsia="Times New Roman" w:hAnsi="Times New Roman" w:cs="Times New Roman"/>
          <w:sz w:val="24"/>
          <w:szCs w:val="24"/>
        </w:rPr>
        <w:t>Yi</w:t>
      </w:r>
      <w:proofErr w:type="spellEnd"/>
      <w:r w:rsidRPr="00967E38">
        <w:rPr>
          <w:rFonts w:ascii="Times New Roman" w:eastAsia="Times New Roman" w:hAnsi="Times New Roman" w:cs="Times New Roman"/>
          <w:sz w:val="24"/>
          <w:szCs w:val="24"/>
        </w:rPr>
        <w:t>, destacando el buen momento de la demanda "de todas las partes" (en referencia tanto a las exportaciones como al consumo interno).</w:t>
      </w:r>
    </w:p>
    <w:p w:rsidR="00967E38" w:rsidRPr="00967E38" w:rsidRDefault="00967E38" w:rsidP="00967E38">
      <w:pPr>
        <w:spacing w:before="100" w:beforeAutospacing="1" w:after="100" w:afterAutospacing="1" w:line="240" w:lineRule="auto"/>
        <w:rPr>
          <w:rFonts w:ascii="Times New Roman" w:eastAsia="Times New Roman" w:hAnsi="Times New Roman" w:cs="Times New Roman"/>
          <w:sz w:val="24"/>
          <w:szCs w:val="24"/>
        </w:rPr>
      </w:pPr>
      <w:r w:rsidRPr="00967E38">
        <w:rPr>
          <w:rFonts w:ascii="Times New Roman" w:eastAsia="Times New Roman" w:hAnsi="Times New Roman" w:cs="Times New Roman"/>
          <w:sz w:val="24"/>
          <w:szCs w:val="24"/>
        </w:rPr>
        <w:t xml:space="preserve">En declaraciones reflejadas por el diario "South China </w:t>
      </w:r>
      <w:proofErr w:type="spellStart"/>
      <w:r w:rsidRPr="00967E38">
        <w:rPr>
          <w:rFonts w:ascii="Times New Roman" w:eastAsia="Times New Roman" w:hAnsi="Times New Roman" w:cs="Times New Roman"/>
          <w:sz w:val="24"/>
          <w:szCs w:val="24"/>
        </w:rPr>
        <w:t>Morning</w:t>
      </w:r>
      <w:proofErr w:type="spellEnd"/>
      <w:r w:rsidRPr="00967E38">
        <w:rPr>
          <w:rFonts w:ascii="Times New Roman" w:eastAsia="Times New Roman" w:hAnsi="Times New Roman" w:cs="Times New Roman"/>
          <w:sz w:val="24"/>
          <w:szCs w:val="24"/>
        </w:rPr>
        <w:t xml:space="preserve"> Post", el vicegobernador también destacó que los niveles de inflación han sido "favorables" en el presente ejercicio y se situarán a finales de año entre el 2 y el 3 por ciento (hoy se anunció la tasa de octubre, que fue del 1,7 por cien).</w:t>
      </w:r>
    </w:p>
    <w:p w:rsidR="00967E38" w:rsidRPr="00967E38" w:rsidRDefault="00967E38" w:rsidP="00967E38">
      <w:pPr>
        <w:spacing w:before="100" w:beforeAutospacing="1" w:after="100" w:afterAutospacing="1" w:line="240" w:lineRule="auto"/>
        <w:rPr>
          <w:rFonts w:ascii="Times New Roman" w:eastAsia="Times New Roman" w:hAnsi="Times New Roman" w:cs="Times New Roman"/>
          <w:sz w:val="24"/>
          <w:szCs w:val="24"/>
        </w:rPr>
      </w:pPr>
      <w:r w:rsidRPr="00967E38">
        <w:rPr>
          <w:rFonts w:ascii="Times New Roman" w:eastAsia="Times New Roman" w:hAnsi="Times New Roman" w:cs="Times New Roman"/>
          <w:sz w:val="24"/>
          <w:szCs w:val="24"/>
        </w:rPr>
        <w:t>China creció un 9,2 por ciento en 2011 y en los primeros trimestres de este año ha mostrado signos de ralentización que han preocupado a los mercados mundiales (7,6 por cien en el segundo trimestre y un 7,4 en el tercero), pero Pekín confía en una recuperación a finales de año y alcanzar la meta fijada.</w:t>
      </w:r>
    </w:p>
    <w:p w:rsidR="00967E38" w:rsidRPr="00967E38" w:rsidRDefault="00967E38" w:rsidP="00967E38">
      <w:pPr>
        <w:spacing w:before="100" w:beforeAutospacing="1" w:after="100" w:afterAutospacing="1" w:line="240" w:lineRule="auto"/>
        <w:rPr>
          <w:rFonts w:ascii="Times New Roman" w:eastAsia="Times New Roman" w:hAnsi="Times New Roman" w:cs="Times New Roman"/>
          <w:sz w:val="24"/>
          <w:szCs w:val="24"/>
        </w:rPr>
      </w:pPr>
      <w:r w:rsidRPr="00967E38">
        <w:rPr>
          <w:rFonts w:ascii="Times New Roman" w:eastAsia="Times New Roman" w:hAnsi="Times New Roman" w:cs="Times New Roman"/>
          <w:sz w:val="24"/>
          <w:szCs w:val="24"/>
        </w:rPr>
        <w:t xml:space="preserve">El gobernador del Banco Popular, </w:t>
      </w:r>
      <w:proofErr w:type="spellStart"/>
      <w:r w:rsidRPr="00967E38">
        <w:rPr>
          <w:rFonts w:ascii="Times New Roman" w:eastAsia="Times New Roman" w:hAnsi="Times New Roman" w:cs="Times New Roman"/>
          <w:sz w:val="24"/>
          <w:szCs w:val="24"/>
        </w:rPr>
        <w:t>Zhou</w:t>
      </w:r>
      <w:proofErr w:type="spellEnd"/>
      <w:r w:rsidRPr="00967E38">
        <w:rPr>
          <w:rFonts w:ascii="Times New Roman" w:eastAsia="Times New Roman" w:hAnsi="Times New Roman" w:cs="Times New Roman"/>
          <w:sz w:val="24"/>
          <w:szCs w:val="24"/>
        </w:rPr>
        <w:t xml:space="preserve"> </w:t>
      </w:r>
      <w:proofErr w:type="spellStart"/>
      <w:r w:rsidRPr="00967E38">
        <w:rPr>
          <w:rFonts w:ascii="Times New Roman" w:eastAsia="Times New Roman" w:hAnsi="Times New Roman" w:cs="Times New Roman"/>
          <w:sz w:val="24"/>
          <w:szCs w:val="24"/>
        </w:rPr>
        <w:t>Xiaochuan</w:t>
      </w:r>
      <w:proofErr w:type="spellEnd"/>
      <w:r w:rsidRPr="00967E38">
        <w:rPr>
          <w:rFonts w:ascii="Times New Roman" w:eastAsia="Times New Roman" w:hAnsi="Times New Roman" w:cs="Times New Roman"/>
          <w:sz w:val="24"/>
          <w:szCs w:val="24"/>
        </w:rPr>
        <w:t>, mostró a su vez un moderado optimismo hacia las perspectivas de la segunda economía mundial, aunque alertó sobre las "incertidumbres" que genera la situación macroeconómica en los principales socios comerciales de China (Estados Unidos y la Unión Europea).</w:t>
      </w:r>
    </w:p>
    <w:p w:rsidR="00967E38" w:rsidRPr="00967E38" w:rsidRDefault="00967E38" w:rsidP="00967E38">
      <w:pPr>
        <w:spacing w:before="100" w:beforeAutospacing="1" w:after="100" w:afterAutospacing="1" w:line="240" w:lineRule="auto"/>
        <w:rPr>
          <w:rFonts w:ascii="Times New Roman" w:eastAsia="Times New Roman" w:hAnsi="Times New Roman" w:cs="Times New Roman"/>
          <w:sz w:val="24"/>
          <w:szCs w:val="24"/>
        </w:rPr>
      </w:pPr>
      <w:r w:rsidRPr="00967E38">
        <w:rPr>
          <w:rFonts w:ascii="Times New Roman" w:eastAsia="Times New Roman" w:hAnsi="Times New Roman" w:cs="Times New Roman"/>
          <w:sz w:val="24"/>
          <w:szCs w:val="24"/>
        </w:rPr>
        <w:t>Pekín "mantendrá cierta continuidad" en sus políticas macroeconómicas el próximo año, pero al mismo tiempo mostrará cierta flexibilidad "para responder a los retos externos", opinó el gobernador tras la reunión en el XVIII Congreso.</w:t>
      </w:r>
    </w:p>
    <w:p w:rsidR="00967E38" w:rsidRPr="00967E38" w:rsidRDefault="00967E38" w:rsidP="00967E38">
      <w:pPr>
        <w:spacing w:before="100" w:beforeAutospacing="1" w:after="100" w:afterAutospacing="1" w:line="240" w:lineRule="auto"/>
        <w:rPr>
          <w:rFonts w:ascii="Times New Roman" w:eastAsia="Times New Roman" w:hAnsi="Times New Roman" w:cs="Times New Roman"/>
          <w:sz w:val="24"/>
          <w:szCs w:val="24"/>
        </w:rPr>
      </w:pPr>
      <w:r w:rsidRPr="00967E38">
        <w:rPr>
          <w:rFonts w:ascii="Times New Roman" w:eastAsia="Times New Roman" w:hAnsi="Times New Roman" w:cs="Times New Roman"/>
          <w:b/>
          <w:bCs/>
          <w:sz w:val="24"/>
          <w:szCs w:val="24"/>
        </w:rPr>
        <w:t>El IPC repunta menos de lo esperado</w:t>
      </w:r>
    </w:p>
    <w:p w:rsidR="00967E38" w:rsidRPr="00967E38" w:rsidRDefault="00967E38" w:rsidP="00967E38">
      <w:pPr>
        <w:spacing w:before="100" w:beforeAutospacing="1" w:after="100" w:afterAutospacing="1" w:line="240" w:lineRule="auto"/>
        <w:rPr>
          <w:rFonts w:ascii="Times New Roman" w:eastAsia="Times New Roman" w:hAnsi="Times New Roman" w:cs="Times New Roman"/>
          <w:sz w:val="24"/>
          <w:szCs w:val="24"/>
        </w:rPr>
      </w:pPr>
      <w:r w:rsidRPr="00967E38">
        <w:rPr>
          <w:rFonts w:ascii="Times New Roman" w:eastAsia="Times New Roman" w:hAnsi="Times New Roman" w:cs="Times New Roman"/>
          <w:sz w:val="24"/>
          <w:szCs w:val="24"/>
        </w:rPr>
        <w:t>El índice de precios al consumo de China se situó en el 1,7 por ciento interanual en octubre, dos décimas menos de la cifra registrada en septiembre, según informó hoy la Oficina Nacional de Estadísticas.</w:t>
      </w:r>
    </w:p>
    <w:p w:rsidR="00967E38" w:rsidRPr="00967E38" w:rsidRDefault="00967E38" w:rsidP="00967E38">
      <w:pPr>
        <w:spacing w:before="100" w:beforeAutospacing="1" w:after="100" w:afterAutospacing="1" w:line="240" w:lineRule="auto"/>
        <w:rPr>
          <w:rFonts w:ascii="Times New Roman" w:eastAsia="Times New Roman" w:hAnsi="Times New Roman" w:cs="Times New Roman"/>
          <w:sz w:val="24"/>
          <w:szCs w:val="24"/>
        </w:rPr>
      </w:pPr>
      <w:r w:rsidRPr="00967E38">
        <w:rPr>
          <w:rFonts w:ascii="Times New Roman" w:eastAsia="Times New Roman" w:hAnsi="Times New Roman" w:cs="Times New Roman"/>
          <w:sz w:val="24"/>
          <w:szCs w:val="24"/>
        </w:rPr>
        <w:t>La cifra se encuentra por debajo de las expectativas de los analistas, que calculaban que el IPC se situaría en el 1,8 en el mes de octubre.</w:t>
      </w:r>
    </w:p>
    <w:p w:rsidR="00967E38" w:rsidRPr="00967E38" w:rsidRDefault="00967E38" w:rsidP="00967E38">
      <w:pPr>
        <w:spacing w:before="100" w:beforeAutospacing="1" w:after="100" w:afterAutospacing="1" w:line="240" w:lineRule="auto"/>
        <w:rPr>
          <w:rFonts w:ascii="Times New Roman" w:eastAsia="Times New Roman" w:hAnsi="Times New Roman" w:cs="Times New Roman"/>
          <w:sz w:val="24"/>
          <w:szCs w:val="24"/>
        </w:rPr>
      </w:pPr>
      <w:r w:rsidRPr="00967E38">
        <w:rPr>
          <w:rFonts w:ascii="Times New Roman" w:eastAsia="Times New Roman" w:hAnsi="Times New Roman" w:cs="Times New Roman"/>
          <w:sz w:val="24"/>
          <w:szCs w:val="24"/>
        </w:rPr>
        <w:lastRenderedPageBreak/>
        <w:t>Según las cifras dadas a conocer por la Oficina de Estadísticas, en octubre los precios cayeron un 0,1 por ciento con respecto al mes anterior.</w:t>
      </w:r>
    </w:p>
    <w:p w:rsidR="00967E38" w:rsidRPr="00967E38" w:rsidRDefault="00967E38" w:rsidP="00967E38">
      <w:pPr>
        <w:spacing w:before="100" w:beforeAutospacing="1" w:after="100" w:afterAutospacing="1" w:line="240" w:lineRule="auto"/>
        <w:rPr>
          <w:rFonts w:ascii="Times New Roman" w:eastAsia="Times New Roman" w:hAnsi="Times New Roman" w:cs="Times New Roman"/>
          <w:sz w:val="24"/>
          <w:szCs w:val="24"/>
        </w:rPr>
      </w:pPr>
      <w:r w:rsidRPr="00967E38">
        <w:rPr>
          <w:rFonts w:ascii="Times New Roman" w:eastAsia="Times New Roman" w:hAnsi="Times New Roman" w:cs="Times New Roman"/>
          <w:sz w:val="24"/>
          <w:szCs w:val="24"/>
        </w:rPr>
        <w:t>Los precios de los alimentos, que representan un tercio del IPC chino, subieron un 1,8 por ciento el mes anterior con respecto a octubre del año pasado, lo que representa una caída con respecto al 2,5 por ciento que registraba en septiembre.</w:t>
      </w:r>
    </w:p>
    <w:p w:rsidR="00967E38" w:rsidRPr="00967E38" w:rsidRDefault="00967E38" w:rsidP="00967E38">
      <w:pPr>
        <w:spacing w:before="100" w:beforeAutospacing="1" w:after="100" w:afterAutospacing="1" w:line="240" w:lineRule="auto"/>
        <w:rPr>
          <w:rFonts w:ascii="Times New Roman" w:eastAsia="Times New Roman" w:hAnsi="Times New Roman" w:cs="Times New Roman"/>
          <w:sz w:val="24"/>
          <w:szCs w:val="24"/>
        </w:rPr>
      </w:pPr>
      <w:r w:rsidRPr="00967E38">
        <w:rPr>
          <w:rFonts w:ascii="Times New Roman" w:eastAsia="Times New Roman" w:hAnsi="Times New Roman" w:cs="Times New Roman"/>
          <w:sz w:val="24"/>
          <w:szCs w:val="24"/>
        </w:rPr>
        <w:t>Por otra parte, el índice de los precios al productor cayó un 2,8 por ciento interanual en octubre, frente a la caída del 3,6 que había registrado el mes anterior.</w:t>
      </w:r>
    </w:p>
    <w:p w:rsidR="00967E38" w:rsidRPr="00967E38" w:rsidRDefault="00967E38" w:rsidP="00967E38">
      <w:pPr>
        <w:spacing w:before="100" w:beforeAutospacing="1" w:after="100" w:afterAutospacing="1" w:line="240" w:lineRule="auto"/>
        <w:rPr>
          <w:rFonts w:ascii="Times New Roman" w:eastAsia="Times New Roman" w:hAnsi="Times New Roman" w:cs="Times New Roman"/>
          <w:sz w:val="24"/>
          <w:szCs w:val="24"/>
        </w:rPr>
      </w:pPr>
      <w:r w:rsidRPr="00967E38">
        <w:rPr>
          <w:rFonts w:ascii="Times New Roman" w:eastAsia="Times New Roman" w:hAnsi="Times New Roman" w:cs="Times New Roman"/>
          <w:sz w:val="24"/>
          <w:szCs w:val="24"/>
        </w:rPr>
        <w:t>Se trata del noveno mes consecutivo de descensos en el índice de precios al productor, que mide la inflación en los precios al por mayor.</w:t>
      </w:r>
    </w:p>
    <w:p w:rsidR="00DF7633" w:rsidRDefault="00DF7633"/>
    <w:sectPr w:rsidR="00DF763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21B50"/>
    <w:multiLevelType w:val="multilevel"/>
    <w:tmpl w:val="1A2A4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857906"/>
    <w:multiLevelType w:val="multilevel"/>
    <w:tmpl w:val="60CA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BA09A4"/>
    <w:multiLevelType w:val="multilevel"/>
    <w:tmpl w:val="DECC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67E38"/>
    <w:rsid w:val="00967E38"/>
    <w:rsid w:val="00DF76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67E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link w:val="Ttulo3Car"/>
    <w:uiPriority w:val="9"/>
    <w:qFormat/>
    <w:rsid w:val="00967E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7E38"/>
    <w:rPr>
      <w:rFonts w:ascii="Times New Roman" w:eastAsia="Times New Roman" w:hAnsi="Times New Roman" w:cs="Times New Roman"/>
      <w:b/>
      <w:bCs/>
      <w:kern w:val="36"/>
      <w:sz w:val="48"/>
      <w:szCs w:val="48"/>
    </w:rPr>
  </w:style>
  <w:style w:type="character" w:customStyle="1" w:styleId="Ttulo3Car">
    <w:name w:val="Título 3 Car"/>
    <w:basedOn w:val="Fuentedeprrafopredeter"/>
    <w:link w:val="Ttulo3"/>
    <w:uiPriority w:val="9"/>
    <w:rsid w:val="00967E38"/>
    <w:rPr>
      <w:rFonts w:ascii="Times New Roman" w:eastAsia="Times New Roman" w:hAnsi="Times New Roman" w:cs="Times New Roman"/>
      <w:b/>
      <w:bCs/>
      <w:sz w:val="27"/>
      <w:szCs w:val="27"/>
    </w:rPr>
  </w:style>
  <w:style w:type="character" w:styleId="Hipervnculo">
    <w:name w:val="Hyperlink"/>
    <w:basedOn w:val="Fuentedeprrafopredeter"/>
    <w:uiPriority w:val="99"/>
    <w:semiHidden/>
    <w:unhideWhenUsed/>
    <w:rsid w:val="00967E38"/>
    <w:rPr>
      <w:color w:val="0000FF"/>
      <w:u w:val="single"/>
    </w:rPr>
  </w:style>
  <w:style w:type="paragraph" w:styleId="NormalWeb">
    <w:name w:val="Normal (Web)"/>
    <w:basedOn w:val="Normal"/>
    <w:uiPriority w:val="99"/>
    <w:semiHidden/>
    <w:unhideWhenUsed/>
    <w:rsid w:val="00967E3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967E38"/>
    <w:rPr>
      <w:b/>
      <w:bCs/>
    </w:rPr>
  </w:style>
</w:styles>
</file>

<file path=word/webSettings.xml><?xml version="1.0" encoding="utf-8"?>
<w:webSettings xmlns:r="http://schemas.openxmlformats.org/officeDocument/2006/relationships" xmlns:w="http://schemas.openxmlformats.org/wordprocessingml/2006/main">
  <w:divs>
    <w:div w:id="507410885">
      <w:bodyDiv w:val="1"/>
      <w:marLeft w:val="0"/>
      <w:marRight w:val="0"/>
      <w:marTop w:val="0"/>
      <w:marBottom w:val="0"/>
      <w:divBdr>
        <w:top w:val="none" w:sz="0" w:space="0" w:color="auto"/>
        <w:left w:val="none" w:sz="0" w:space="0" w:color="auto"/>
        <w:bottom w:val="none" w:sz="0" w:space="0" w:color="auto"/>
        <w:right w:val="none" w:sz="0" w:space="0" w:color="auto"/>
      </w:divBdr>
      <w:divsChild>
        <w:div w:id="579173358">
          <w:marLeft w:val="0"/>
          <w:marRight w:val="0"/>
          <w:marTop w:val="0"/>
          <w:marBottom w:val="0"/>
          <w:divBdr>
            <w:top w:val="none" w:sz="0" w:space="0" w:color="auto"/>
            <w:left w:val="none" w:sz="0" w:space="0" w:color="auto"/>
            <w:bottom w:val="none" w:sz="0" w:space="0" w:color="auto"/>
            <w:right w:val="none" w:sz="0" w:space="0" w:color="auto"/>
          </w:divBdr>
        </w:div>
        <w:div w:id="1981301061">
          <w:marLeft w:val="0"/>
          <w:marRight w:val="0"/>
          <w:marTop w:val="0"/>
          <w:marBottom w:val="0"/>
          <w:divBdr>
            <w:top w:val="none" w:sz="0" w:space="0" w:color="auto"/>
            <w:left w:val="none" w:sz="0" w:space="0" w:color="auto"/>
            <w:bottom w:val="none" w:sz="0" w:space="0" w:color="auto"/>
            <w:right w:val="none" w:sz="0" w:space="0" w:color="auto"/>
          </w:divBdr>
          <w:divsChild>
            <w:div w:id="1593660712">
              <w:marLeft w:val="0"/>
              <w:marRight w:val="0"/>
              <w:marTop w:val="0"/>
              <w:marBottom w:val="0"/>
              <w:divBdr>
                <w:top w:val="none" w:sz="0" w:space="0" w:color="auto"/>
                <w:left w:val="none" w:sz="0" w:space="0" w:color="auto"/>
                <w:bottom w:val="none" w:sz="0" w:space="0" w:color="auto"/>
                <w:right w:val="none" w:sz="0" w:space="0" w:color="auto"/>
              </w:divBdr>
              <w:divsChild>
                <w:div w:id="1859930093">
                  <w:marLeft w:val="0"/>
                  <w:marRight w:val="0"/>
                  <w:marTop w:val="0"/>
                  <w:marBottom w:val="0"/>
                  <w:divBdr>
                    <w:top w:val="none" w:sz="0" w:space="0" w:color="auto"/>
                    <w:left w:val="none" w:sz="0" w:space="0" w:color="auto"/>
                    <w:bottom w:val="none" w:sz="0" w:space="0" w:color="auto"/>
                    <w:right w:val="none" w:sz="0" w:space="0" w:color="auto"/>
                  </w:divBdr>
                  <w:divsChild>
                    <w:div w:id="1648969806">
                      <w:marLeft w:val="0"/>
                      <w:marRight w:val="0"/>
                      <w:marTop w:val="0"/>
                      <w:marBottom w:val="0"/>
                      <w:divBdr>
                        <w:top w:val="none" w:sz="0" w:space="0" w:color="auto"/>
                        <w:left w:val="none" w:sz="0" w:space="0" w:color="auto"/>
                        <w:bottom w:val="none" w:sz="0" w:space="0" w:color="auto"/>
                        <w:right w:val="none" w:sz="0" w:space="0" w:color="auto"/>
                      </w:divBdr>
                      <w:divsChild>
                        <w:div w:id="2089573785">
                          <w:marLeft w:val="0"/>
                          <w:marRight w:val="0"/>
                          <w:marTop w:val="0"/>
                          <w:marBottom w:val="0"/>
                          <w:divBdr>
                            <w:top w:val="none" w:sz="0" w:space="0" w:color="auto"/>
                            <w:left w:val="none" w:sz="0" w:space="0" w:color="auto"/>
                            <w:bottom w:val="none" w:sz="0" w:space="0" w:color="auto"/>
                            <w:right w:val="none" w:sz="0" w:space="0" w:color="auto"/>
                          </w:divBdr>
                          <w:divsChild>
                            <w:div w:id="288319194">
                              <w:marLeft w:val="0"/>
                              <w:marRight w:val="0"/>
                              <w:marTop w:val="0"/>
                              <w:marBottom w:val="0"/>
                              <w:divBdr>
                                <w:top w:val="none" w:sz="0" w:space="0" w:color="auto"/>
                                <w:left w:val="none" w:sz="0" w:space="0" w:color="auto"/>
                                <w:bottom w:val="none" w:sz="0" w:space="0" w:color="auto"/>
                                <w:right w:val="none" w:sz="0" w:space="0" w:color="auto"/>
                              </w:divBdr>
                            </w:div>
                            <w:div w:id="211428726">
                              <w:marLeft w:val="0"/>
                              <w:marRight w:val="0"/>
                              <w:marTop w:val="0"/>
                              <w:marBottom w:val="0"/>
                              <w:divBdr>
                                <w:top w:val="none" w:sz="0" w:space="0" w:color="auto"/>
                                <w:left w:val="none" w:sz="0" w:space="0" w:color="auto"/>
                                <w:bottom w:val="none" w:sz="0" w:space="0" w:color="auto"/>
                                <w:right w:val="none" w:sz="0" w:space="0" w:color="auto"/>
                              </w:divBdr>
                              <w:divsChild>
                                <w:div w:id="461726467">
                                  <w:marLeft w:val="0"/>
                                  <w:marRight w:val="0"/>
                                  <w:marTop w:val="0"/>
                                  <w:marBottom w:val="0"/>
                                  <w:divBdr>
                                    <w:top w:val="none" w:sz="0" w:space="0" w:color="auto"/>
                                    <w:left w:val="none" w:sz="0" w:space="0" w:color="auto"/>
                                    <w:bottom w:val="none" w:sz="0" w:space="0" w:color="auto"/>
                                    <w:right w:val="none" w:sz="0" w:space="0" w:color="auto"/>
                                  </w:divBdr>
                                  <w:divsChild>
                                    <w:div w:id="602495069">
                                      <w:marLeft w:val="0"/>
                                      <w:marRight w:val="0"/>
                                      <w:marTop w:val="0"/>
                                      <w:marBottom w:val="0"/>
                                      <w:divBdr>
                                        <w:top w:val="none" w:sz="0" w:space="0" w:color="auto"/>
                                        <w:left w:val="none" w:sz="0" w:space="0" w:color="auto"/>
                                        <w:bottom w:val="none" w:sz="0" w:space="0" w:color="auto"/>
                                        <w:right w:val="none" w:sz="0" w:space="0" w:color="auto"/>
                                      </w:divBdr>
                                      <w:divsChild>
                                        <w:div w:id="348946171">
                                          <w:marLeft w:val="0"/>
                                          <w:marRight w:val="0"/>
                                          <w:marTop w:val="0"/>
                                          <w:marBottom w:val="0"/>
                                          <w:divBdr>
                                            <w:top w:val="none" w:sz="0" w:space="0" w:color="auto"/>
                                            <w:left w:val="none" w:sz="0" w:space="0" w:color="auto"/>
                                            <w:bottom w:val="none" w:sz="0" w:space="0" w:color="auto"/>
                                            <w:right w:val="none" w:sz="0" w:space="0" w:color="auto"/>
                                          </w:divBdr>
                                          <w:divsChild>
                                            <w:div w:id="10707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93972">
                              <w:marLeft w:val="0"/>
                              <w:marRight w:val="0"/>
                              <w:marTop w:val="0"/>
                              <w:marBottom w:val="0"/>
                              <w:divBdr>
                                <w:top w:val="none" w:sz="0" w:space="0" w:color="auto"/>
                                <w:left w:val="none" w:sz="0" w:space="0" w:color="auto"/>
                                <w:bottom w:val="none" w:sz="0" w:space="0" w:color="auto"/>
                                <w:right w:val="none" w:sz="0" w:space="0" w:color="auto"/>
                              </w:divBdr>
                            </w:div>
                            <w:div w:id="80670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2520</Characters>
  <Application>Microsoft Office Word</Application>
  <DocSecurity>0</DocSecurity>
  <Lines>21</Lines>
  <Paragraphs>5</Paragraphs>
  <ScaleCrop>false</ScaleCrop>
  <Company>Hewlett-Packard</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3</cp:revision>
  <dcterms:created xsi:type="dcterms:W3CDTF">2012-11-12T12:37:00Z</dcterms:created>
  <dcterms:modified xsi:type="dcterms:W3CDTF">2012-11-12T12:37:00Z</dcterms:modified>
</cp:coreProperties>
</file>